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3DE" w:rsidRPr="008653DE" w:rsidRDefault="008653DE" w:rsidP="008653DE">
      <w:pPr>
        <w:keepNext/>
        <w:keepLines/>
        <w:pageBreakBefore/>
        <w:spacing w:before="480" w:line="240" w:lineRule="auto"/>
        <w:outlineLvl w:val="0"/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</w:pPr>
      <w:r w:rsidRPr="008653DE"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  <w:t>МБДОУ детский сад № 10 «Ромашка»</w:t>
      </w:r>
      <w:r w:rsidRPr="008653DE">
        <w:rPr>
          <w:rFonts w:ascii="Times New Roman" w:eastAsiaTheme="majorEastAsia" w:hAnsi="Times New Roman" w:cs="Times New Roman"/>
          <w:b/>
          <w:bCs/>
          <w:sz w:val="32"/>
          <w:szCs w:val="32"/>
          <w:lang w:eastAsia="ru-RU"/>
        </w:rPr>
        <w:t xml:space="preserve">, ИНН </w:t>
      </w:r>
      <w:r w:rsidRPr="008653DE">
        <w:rPr>
          <w:rFonts w:ascii="Times New Roman" w:eastAsiaTheme="majorEastAsia" w:hAnsi="Times New Roman" w:cs="Times New Roman"/>
          <w:b/>
          <w:bCs/>
          <w:noProof/>
          <w:sz w:val="32"/>
          <w:szCs w:val="32"/>
          <w:lang w:eastAsia="ru-RU"/>
        </w:rPr>
        <w:t xml:space="preserve">6639005490  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Административно-территориальная единица: 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Белоярский ГО</w:t>
      </w:r>
    </w:p>
    <w:p w:rsidR="008653DE" w:rsidRPr="008653DE" w:rsidRDefault="008653DE" w:rsidP="008653DE">
      <w:pPr>
        <w:spacing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</w:p>
    <w:p w:rsidR="008653DE" w:rsidRPr="008653DE" w:rsidRDefault="008653DE" w:rsidP="008653DE">
      <w:pPr>
        <w:spacing w:line="240" w:lineRule="auto"/>
        <w:jc w:val="center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 xml:space="preserve">Результаты независимой </w:t>
      </w:r>
      <w:proofErr w:type="gramStart"/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Общее количество опрошенных составляет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66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чел. – родителей/ законных представителей получателей услуг.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ходе проведенной независимой </w:t>
      </w:r>
      <w:proofErr w:type="gramStart"/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оценки качества условий осуществления образовательной деятельности</w:t>
      </w:r>
      <w:proofErr w:type="gramEnd"/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были получены следующие результаты:</w:t>
      </w:r>
    </w:p>
    <w:p w:rsidR="008653DE" w:rsidRPr="008653DE" w:rsidRDefault="008653DE" w:rsidP="008653DE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«Открытость и доступность информации об образовательной организации»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 xml:space="preserve">92,2 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proofErr w:type="gramStart"/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>соответствие информации о деятельности образовательной организации, размещенной на общедоступных информационных ресурсах, ее содержанию и порядку (форме), установленным законодательными и иными нормативными правовыми актами Российской Федерации -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 xml:space="preserve">98 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балла</w:t>
      </w:r>
      <w:proofErr w:type="gramEnd"/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наличие на официальном сайте образовательной организации информации о дистанционных 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способах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обратной связи и взаимодействия с получателями услуг и их функционирование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100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открытостью, полнотой и доступностью информации о деятельности образовательной организации, размещенной на информационных стендах в помещении организации, на официальном сайте организации в сети «Интернет»)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82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«Комфортность условий предоставления услуг»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65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обеспечение в образовательной организации комфортных условий для предоставления услуг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60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after="120" w:line="240" w:lineRule="auto"/>
        <w:ind w:left="709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комфортностью предоставления услуг образовательной организацией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70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«Доступность услуг для инвалидов»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8653DE" w:rsidRPr="008653DE" w:rsidRDefault="008653DE" w:rsidP="008653DE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оборудование помещений образовательной организации и прилегающей к ней территории с учетом доступности для инвалидов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0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баллов</w:t>
      </w:r>
    </w:p>
    <w:p w:rsidR="008653DE" w:rsidRPr="008653DE" w:rsidRDefault="008653DE" w:rsidP="008653DE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lastRenderedPageBreak/>
        <w:t xml:space="preserve">обеспечение в образовательной организации условий доступности, позволяющих инвалидам получать услуги наравне с другими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20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баллов</w:t>
      </w:r>
    </w:p>
    <w:p w:rsidR="008653DE" w:rsidRPr="008653DE" w:rsidRDefault="008653DE" w:rsidP="008653DE">
      <w:pPr>
        <w:spacing w:after="120" w:line="240" w:lineRule="auto"/>
        <w:ind w:left="708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доступностью услуг для инвалидов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0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after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8653DE" w:rsidRPr="008653DE" w:rsidRDefault="008653DE" w:rsidP="008653DE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«Доброжелательность, вежливость работников организации»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92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первичный контакт и информирование получателя услуги при непосредственном обращении в образовательную организацию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88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организации, обеспечивающих непосредственное оказание услуги при обращении в образовательную организацию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94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доброжелательностью, вежливостью работников образовательной организации при использовании дистанционных форм взаимодействия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96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after="12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E" w:rsidRPr="008653DE" w:rsidRDefault="008653DE" w:rsidP="008653DE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Интегральное значение в части показателей, характеризующих критерий 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«Удовлетворенность условиями оказания услуг»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, составляет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81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в том числе по показателям:</w:t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  <w:r w:rsidRPr="008653DE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ab/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которые готовы рекомендовать образовательную организацию родственникам и знакомым (могли бы ее рекомендовать, если бы была возможность выбора образовательной организации)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74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организационными условиями 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79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after="120" w:line="240" w:lineRule="auto"/>
        <w:ind w:left="709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Доля получателей услуг, удовлетворенных в целом условиями оказания услуг в образовательной организации  -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86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</w:t>
      </w:r>
    </w:p>
    <w:p w:rsidR="008653DE" w:rsidRPr="008653DE" w:rsidRDefault="008653DE" w:rsidP="008653DE">
      <w:pPr>
        <w:spacing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653DE" w:rsidRPr="008653DE" w:rsidRDefault="008653DE" w:rsidP="008653DE">
      <w:pPr>
        <w:spacing w:before="24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Выводные положения: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Расчет итогового </w:t>
      </w:r>
      <w:proofErr w:type="gramStart"/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>значения интегрального показателя качества условий оказания образовательной деятельности</w:t>
      </w:r>
      <w:proofErr w:type="gramEnd"/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произведен по формуле: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ab/>
      </w:r>
    </w:p>
    <w:p w:rsidR="008653DE" w:rsidRPr="008653DE" w:rsidRDefault="008653DE" w:rsidP="008653DE">
      <w:pPr>
        <w:autoSpaceDE w:val="0"/>
        <w:autoSpaceDN w:val="0"/>
        <w:adjustRightInd w:val="0"/>
        <w:spacing w:after="0" w:line="240" w:lineRule="auto"/>
        <w:ind w:left="212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 xml:space="preserve"> </w:t>
      </w:r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=∑</w:t>
      </w:r>
      <w:proofErr w:type="spellStart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K</w:t>
      </w:r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val="en-US" w:eastAsia="ru-RU"/>
        </w:rPr>
        <w:t>m</w:t>
      </w:r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/5, </w:t>
      </w:r>
    </w:p>
    <w:p w:rsidR="008653DE" w:rsidRPr="008653DE" w:rsidRDefault="008653DE" w:rsidP="008653D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где:</w:t>
      </w:r>
    </w:p>
    <w:p w:rsidR="008653DE" w:rsidRPr="008653DE" w:rsidRDefault="008653DE" w:rsidP="008653D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S</w:t>
      </w:r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val="en-US" w:eastAsia="ru-RU"/>
        </w:rPr>
        <w:t>n</w:t>
      </w:r>
      <w:proofErr w:type="spellEnd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 xml:space="preserve">  </w:t>
      </w:r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–</w:t>
      </w:r>
      <w:proofErr w:type="gramEnd"/>
      <w:r w:rsidRPr="00865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показатель </w:t>
      </w:r>
      <w:r w:rsidRPr="008653D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оценки качества </w:t>
      </w:r>
      <w:r w:rsidRPr="008653DE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n</w:t>
      </w:r>
      <w:r w:rsidRPr="00865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-ой организации;</w:t>
      </w:r>
    </w:p>
    <w:p w:rsidR="008653DE" w:rsidRPr="008653DE" w:rsidRDefault="008653DE" w:rsidP="008653DE">
      <w:pPr>
        <w:autoSpaceDE w:val="0"/>
        <w:autoSpaceDN w:val="0"/>
        <w:adjustRightInd w:val="0"/>
        <w:spacing w:after="0" w:line="240" w:lineRule="auto"/>
        <w:ind w:left="141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spellStart"/>
      <w:proofErr w:type="gramStart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</w:t>
      </w:r>
      <w:proofErr w:type="gramEnd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  <w:lang w:eastAsia="ru-RU"/>
        </w:rPr>
        <w:t>m</w:t>
      </w:r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vertAlign w:val="subscript"/>
          <w:lang w:eastAsia="ru-RU"/>
        </w:rPr>
        <w:t>n</w:t>
      </w:r>
      <w:proofErr w:type="spellEnd"/>
      <w:r w:rsidRPr="008653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</w:t>
      </w:r>
      <w:r w:rsidRPr="008653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значения критериев оценки в n-ой организации</w:t>
      </w:r>
    </w:p>
    <w:p w:rsidR="008653DE" w:rsidRPr="008653DE" w:rsidRDefault="008653DE" w:rsidP="008653DE">
      <w:pPr>
        <w:spacing w:before="48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 xml:space="preserve">Показатель оценки качества по образовательной организации 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составляет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67,64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балла.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В целом по образовательной организации удовлетворенность получателей образовательных услуг качеством условий осуществления образовательной деятельности соответствует оценке 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«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ХОРОШО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».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653DE" w:rsidRPr="008653DE" w:rsidRDefault="008653DE" w:rsidP="008653DE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Основные недостатки образовательной организации, указанные получателями услуг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vertAlign w:val="superscript"/>
          <w:lang w:eastAsia="ru-RU"/>
        </w:rPr>
        <w:footnoteReference w:id="1"/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: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Замечания и предложения были высказаны </w:t>
      </w:r>
      <w:r w:rsidRPr="008653DE">
        <w:rPr>
          <w:rFonts w:ascii="Times New Roman" w:eastAsiaTheme="minorEastAsia" w:hAnsi="Times New Roman" w:cs="Times New Roman"/>
          <w:b/>
          <w:noProof/>
          <w:sz w:val="24"/>
          <w:szCs w:val="24"/>
          <w:lang w:eastAsia="ru-RU"/>
        </w:rPr>
        <w:t>36,4</w:t>
      </w: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%</w:t>
      </w:r>
      <w:r w:rsidRPr="008653DE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получателей услуг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оснащение и зонирование детских площадок для прогулок - 13%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график работы - 8%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проблемы питания - 21%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состояние, ремонт и модернизация здания в целом и отдельных его элементов - 13%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образовательно-развивающие программы (недостаток, оплата) - 25%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благоустройство прилегающей территории - 4%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оснащение - 21%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мебель (ремонт, замена, недостаток) - 8%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узкопрофильные специалисты - логопеды, психологи - 8%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охрана, видеонаблюдение, доступ в организацию - 8%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медицинское обслуживание - 4%</w:t>
      </w:r>
    </w:p>
    <w:p w:rsidR="008653DE" w:rsidRPr="008653DE" w:rsidRDefault="008653DE" w:rsidP="008653DE">
      <w:pPr>
        <w:numPr>
          <w:ilvl w:val="0"/>
          <w:numId w:val="1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качество работы персонала (вежливость, индивидуальный подход, невыполнение прямых обязанностей) - 8%</w:t>
      </w:r>
    </w:p>
    <w:p w:rsidR="008653DE" w:rsidRPr="008653DE" w:rsidRDefault="008653DE" w:rsidP="008653DE">
      <w:pPr>
        <w:spacing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8653DE" w:rsidRPr="008653DE" w:rsidRDefault="008653DE" w:rsidP="008653DE">
      <w:pPr>
        <w:spacing w:before="240" w:line="240" w:lineRule="auto"/>
        <w:jc w:val="both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Рекомендации для образовательной организации:</w:t>
      </w:r>
    </w:p>
    <w:p w:rsidR="008653DE" w:rsidRPr="008653DE" w:rsidRDefault="008653DE" w:rsidP="008653DE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Поддерживать актуальность и полноту информации на стендах в помещении образовательной организации на прежнем уровне</w:t>
      </w:r>
    </w:p>
    <w:p w:rsidR="008653DE" w:rsidRPr="008653DE" w:rsidRDefault="008653DE" w:rsidP="008653DE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Привести в соответствие с нормативно-правовыми актами официальный сайт организации, в частности, разместить на сайте:</w:t>
      </w:r>
    </w:p>
    <w:p w:rsidR="008653DE" w:rsidRPr="008653DE" w:rsidRDefault="008653DE" w:rsidP="008653DE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свидетельства о государственной аккредитации (с приложениями)</w:t>
      </w:r>
    </w:p>
    <w:p w:rsidR="008653DE" w:rsidRPr="008653DE" w:rsidRDefault="008653DE" w:rsidP="008653DE">
      <w:pPr>
        <w:numPr>
          <w:ilvl w:val="0"/>
          <w:numId w:val="6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план финансово-хозяйственной деятельности, утвержденный в установленном законодательством РФ порядке, или бюджетные сметы образовательной организации</w:t>
      </w:r>
    </w:p>
    <w:p w:rsidR="008653DE" w:rsidRPr="008653DE" w:rsidRDefault="008653DE" w:rsidP="008653DE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Поддерживать актуальность информации о дистанционных способах обратной связи и взаимодействия на официальном сайте образовательной организации и их функционирование</w:t>
      </w:r>
    </w:p>
    <w:p w:rsidR="008653DE" w:rsidRPr="008653DE" w:rsidRDefault="008653DE" w:rsidP="008653DE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Усилить  работу по популяризации официального сайта bus.gov.ru на официальном сайте образовательной организации, разместив на официальном сайте:</w:t>
      </w:r>
    </w:p>
    <w:p w:rsidR="008653DE" w:rsidRPr="008653DE" w:rsidRDefault="008653DE" w:rsidP="008653DE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в разделе 'Независимая оценка качества условий оказания услуг' планов и отчетов по итогам НОК в 2019 году</w:t>
      </w:r>
    </w:p>
    <w:p w:rsidR="008653DE" w:rsidRPr="008653DE" w:rsidRDefault="008653DE" w:rsidP="008653DE">
      <w:pPr>
        <w:numPr>
          <w:ilvl w:val="0"/>
          <w:numId w:val="5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банер с приглашением оставить отзыв на официальном сайте bus.gov.ru (на главной странице официального сайта образовательной организации)</w:t>
      </w:r>
    </w:p>
    <w:p w:rsidR="008653DE" w:rsidRPr="008653DE" w:rsidRDefault="008653DE" w:rsidP="008653DE">
      <w:pPr>
        <w:spacing w:before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Улучшить условия комфортности оказания услуг, обеспечив:</w:t>
      </w:r>
    </w:p>
    <w:p w:rsidR="008653DE" w:rsidRPr="008653DE" w:rsidRDefault="008653DE" w:rsidP="008653DE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комфортной зоны отдыха (ожидания), оборудованной соответствующей мебелью</w:t>
      </w:r>
    </w:p>
    <w:p w:rsidR="008653DE" w:rsidRPr="008653DE" w:rsidRDefault="008653DE" w:rsidP="008653DE">
      <w:pPr>
        <w:numPr>
          <w:ilvl w:val="0"/>
          <w:numId w:val="4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и доступность питьевой воды</w:t>
      </w:r>
    </w:p>
    <w:p w:rsidR="008653DE" w:rsidRPr="008653DE" w:rsidRDefault="008653DE" w:rsidP="008653DE">
      <w:pPr>
        <w:spacing w:before="12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Повысить уровень доступности услуг для инвалидов, обеспечив:</w:t>
      </w:r>
    </w:p>
    <w:p w:rsidR="008653DE" w:rsidRPr="008653DE" w:rsidRDefault="008653DE" w:rsidP="008653DE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t>наличие оборудованных входных групп пандусами (подъемными платформами)</w:t>
      </w:r>
    </w:p>
    <w:p w:rsidR="008653DE" w:rsidRPr="008653DE" w:rsidRDefault="008653DE" w:rsidP="008653DE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выделенных стоянок для автотранспортных средств инвалидов</w:t>
      </w:r>
    </w:p>
    <w:p w:rsidR="008653DE" w:rsidRPr="008653DE" w:rsidRDefault="008653DE" w:rsidP="008653DE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адаптированных лифтов, поручней, расширенных дверных проемов</w:t>
      </w:r>
    </w:p>
    <w:p w:rsidR="008653DE" w:rsidRPr="008653DE" w:rsidRDefault="008653DE" w:rsidP="008653DE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val="en-US" w:eastAsia="ru-RU"/>
        </w:rPr>
        <w:t>наличие сменных кресел-колясок</w:t>
      </w:r>
    </w:p>
    <w:p w:rsidR="008653DE" w:rsidRPr="008653DE" w:rsidRDefault="008653DE" w:rsidP="008653DE">
      <w:pPr>
        <w:numPr>
          <w:ilvl w:val="0"/>
          <w:numId w:val="3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специально оборудованных санитарно-гигиенических помещений в образовательной организации</w:t>
      </w:r>
    </w:p>
    <w:p w:rsidR="008653DE" w:rsidRPr="008653DE" w:rsidRDefault="008653DE" w:rsidP="008653DE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Улучшить условия доступности, позволяющие инвалидам получать услуги наравне с другими, обеспечив:</w:t>
      </w:r>
    </w:p>
    <w:p w:rsidR="008653DE" w:rsidRPr="008653DE" w:rsidRDefault="008653DE" w:rsidP="008653D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дублирование для инвалидов по слуху и зрению звуковой и зрительной информации</w:t>
      </w:r>
    </w:p>
    <w:p w:rsidR="008653DE" w:rsidRPr="008653DE" w:rsidRDefault="008653DE" w:rsidP="008653D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дублирование надписей, знаков и иной текстовой и графической информации знаками, выполненными рельефно-точечным шрифтом Брайля</w:t>
      </w:r>
    </w:p>
    <w:p w:rsidR="008653DE" w:rsidRPr="008653DE" w:rsidRDefault="008653DE" w:rsidP="008653D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предоставление инвалидам по слуху (слуху и зрению) услуг сурдопереводчика (тифлосурдопереводчика)</w:t>
      </w:r>
    </w:p>
    <w:p w:rsidR="008653DE" w:rsidRPr="008653DE" w:rsidRDefault="008653DE" w:rsidP="008653D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помощь, оказываемую работниками организации, прошедшими необходимое обучение (инструктирование) по сопровождению инвалидов в помещениях организации и на прилегающей территории</w:t>
      </w:r>
    </w:p>
    <w:p w:rsidR="008653DE" w:rsidRPr="008653DE" w:rsidRDefault="008653DE" w:rsidP="008653DE">
      <w:pPr>
        <w:numPr>
          <w:ilvl w:val="0"/>
          <w:numId w:val="2"/>
        </w:num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наличие возможности предоставления услуги в дистанционном режиме или на дому</w:t>
      </w:r>
    </w:p>
    <w:p w:rsidR="008653DE" w:rsidRPr="008653DE" w:rsidRDefault="008653DE" w:rsidP="008653DE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Продолжить работу по повышению доброжелательности и вежливости работников</w:t>
      </w:r>
    </w:p>
    <w:p w:rsidR="008653DE" w:rsidRPr="008653DE" w:rsidRDefault="008653DE" w:rsidP="008653DE">
      <w:pPr>
        <w:spacing w:before="12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Повысить уровень удовлетворенности условиями оказания услуг, в частности, создать условия для готовности получателей рекомендовать организацию</w:t>
      </w:r>
    </w:p>
    <w:p w:rsidR="00112E3E" w:rsidRDefault="008653DE" w:rsidP="008653DE">
      <w:r w:rsidRPr="008653DE">
        <w:rPr>
          <w:rFonts w:ascii="Times New Roman" w:eastAsiaTheme="minorEastAsia" w:hAnsi="Times New Roman" w:cs="Times New Roman"/>
          <w:noProof/>
          <w:sz w:val="24"/>
          <w:szCs w:val="24"/>
          <w:lang w:eastAsia="ru-RU"/>
        </w:rPr>
        <w:t>Повысить уровень удовлетворенности условиями оказания услуг, в частности, рассмотреть возможность оптимизации графика</w:t>
      </w:r>
      <w:bookmarkStart w:id="0" w:name="_GoBack"/>
      <w:bookmarkEnd w:id="0"/>
    </w:p>
    <w:sectPr w:rsidR="00112E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89B" w:rsidRDefault="002A389B" w:rsidP="008653DE">
      <w:pPr>
        <w:spacing w:after="0" w:line="240" w:lineRule="auto"/>
      </w:pPr>
      <w:r>
        <w:separator/>
      </w:r>
    </w:p>
  </w:endnote>
  <w:endnote w:type="continuationSeparator" w:id="0">
    <w:p w:rsidR="002A389B" w:rsidRDefault="002A389B" w:rsidP="00865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89B" w:rsidRDefault="002A389B" w:rsidP="008653DE">
      <w:pPr>
        <w:spacing w:after="0" w:line="240" w:lineRule="auto"/>
      </w:pPr>
      <w:r>
        <w:separator/>
      </w:r>
    </w:p>
  </w:footnote>
  <w:footnote w:type="continuationSeparator" w:id="0">
    <w:p w:rsidR="002A389B" w:rsidRDefault="002A389B" w:rsidP="008653DE">
      <w:pPr>
        <w:spacing w:after="0" w:line="240" w:lineRule="auto"/>
      </w:pPr>
      <w:r>
        <w:continuationSeparator/>
      </w:r>
    </w:p>
  </w:footnote>
  <w:footnote w:id="1">
    <w:p w:rsidR="008653DE" w:rsidRPr="00BB03FE" w:rsidRDefault="008653DE" w:rsidP="008653DE">
      <w:pPr>
        <w:pStyle w:val="a3"/>
        <w:rPr>
          <w:rFonts w:ascii="Arial" w:hAnsi="Arial" w:cs="Arial"/>
        </w:rPr>
      </w:pPr>
      <w:r w:rsidRPr="00BB03FE">
        <w:rPr>
          <w:rStyle w:val="a5"/>
          <w:rFonts w:ascii="Arial" w:hAnsi="Arial" w:cs="Arial"/>
        </w:rPr>
        <w:footnoteRef/>
      </w:r>
      <w:r w:rsidRPr="00BB03FE">
        <w:rPr>
          <w:rFonts w:ascii="Arial" w:hAnsi="Arial" w:cs="Arial"/>
        </w:rPr>
        <w:t xml:space="preserve"> Доли рассчитаны от общего числа замечаний, высказанных в отношении данной организации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D3E96"/>
    <w:multiLevelType w:val="hybridMultilevel"/>
    <w:tmpl w:val="96280FC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09525223"/>
    <w:multiLevelType w:val="hybridMultilevel"/>
    <w:tmpl w:val="92846C6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16D821BB"/>
    <w:multiLevelType w:val="hybridMultilevel"/>
    <w:tmpl w:val="53AAFB3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2BA10A5B"/>
    <w:multiLevelType w:val="hybridMultilevel"/>
    <w:tmpl w:val="01068C2E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53EC3AA7"/>
    <w:multiLevelType w:val="hybridMultilevel"/>
    <w:tmpl w:val="D466EDD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666D42A1"/>
    <w:multiLevelType w:val="hybridMultilevel"/>
    <w:tmpl w:val="BEA0A84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3DE"/>
    <w:rsid w:val="00112E3E"/>
    <w:rsid w:val="002A389B"/>
    <w:rsid w:val="00865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53D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53DE"/>
    <w:rPr>
      <w:sz w:val="20"/>
      <w:szCs w:val="20"/>
    </w:rPr>
  </w:style>
  <w:style w:type="character" w:styleId="a5">
    <w:name w:val="footnote reference"/>
    <w:uiPriority w:val="99"/>
    <w:semiHidden/>
    <w:unhideWhenUsed/>
    <w:rsid w:val="008653D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653DE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653DE"/>
    <w:rPr>
      <w:sz w:val="20"/>
      <w:szCs w:val="20"/>
    </w:rPr>
  </w:style>
  <w:style w:type="character" w:styleId="a5">
    <w:name w:val="footnote reference"/>
    <w:uiPriority w:val="99"/>
    <w:semiHidden/>
    <w:unhideWhenUsed/>
    <w:rsid w:val="008653D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1111</Words>
  <Characters>6334</Characters>
  <Application>Microsoft Office Word</Application>
  <DocSecurity>0</DocSecurity>
  <Lines>52</Lines>
  <Paragraphs>14</Paragraphs>
  <ScaleCrop>false</ScaleCrop>
  <Company/>
  <LinksUpToDate>false</LinksUpToDate>
  <CharactersWithSpaces>7431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2020-01-09T04:53:00Z</dcterms:created>
  <dcterms:modified xsi:type="dcterms:W3CDTF">2020-01-09T04:53:00Z</dcterms:modified>
</cp:coreProperties>
</file>